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814224" w14:textId="36EC4897" w:rsidR="00CA74BA" w:rsidRPr="006802A9" w:rsidRDefault="00CA74BA" w:rsidP="00CA74BA">
      <w:pPr>
        <w:pStyle w:val="ac"/>
        <w:jc w:val="center"/>
        <w:rPr>
          <w:rStyle w:val="itemtext1"/>
          <w:rFonts w:ascii="Times New Roman" w:eastAsiaTheme="minorHAnsi" w:hAnsi="Times New Roman" w:cs="Times New Roman"/>
          <w:b/>
          <w:bCs/>
          <w:kern w:val="2"/>
          <w:sz w:val="30"/>
          <w:szCs w:val="30"/>
          <w:lang w:eastAsia="en-US"/>
          <w14:ligatures w14:val="standardContextual"/>
        </w:rPr>
      </w:pPr>
      <w:r w:rsidRPr="006802A9">
        <w:rPr>
          <w:rStyle w:val="itemtext1"/>
          <w:rFonts w:ascii="Times New Roman" w:eastAsiaTheme="minorHAnsi" w:hAnsi="Times New Roman" w:cs="Times New Roman"/>
          <w:b/>
          <w:bCs/>
          <w:kern w:val="2"/>
          <w:sz w:val="30"/>
          <w:szCs w:val="30"/>
          <w:lang w:eastAsia="en-US"/>
          <w14:ligatures w14:val="standardContextual"/>
        </w:rPr>
        <w:t>О</w:t>
      </w:r>
      <w:bookmarkStart w:id="0" w:name="_GoBack"/>
      <w:bookmarkEnd w:id="0"/>
      <w:r w:rsidRPr="006802A9">
        <w:rPr>
          <w:rStyle w:val="itemtext1"/>
          <w:rFonts w:ascii="Times New Roman" w:eastAsiaTheme="minorHAnsi" w:hAnsi="Times New Roman" w:cs="Times New Roman"/>
          <w:b/>
          <w:bCs/>
          <w:kern w:val="2"/>
          <w:sz w:val="30"/>
          <w:szCs w:val="30"/>
          <w:lang w:eastAsia="en-US"/>
          <w14:ligatures w14:val="standardContextual"/>
        </w:rPr>
        <w:t xml:space="preserve"> принятии решения Совета ЕЭК о маркировке </w:t>
      </w:r>
      <w:r w:rsidR="00E85BE9">
        <w:rPr>
          <w:rStyle w:val="itemtext1"/>
          <w:rFonts w:ascii="Times New Roman" w:eastAsiaTheme="minorHAnsi" w:hAnsi="Times New Roman" w:cs="Times New Roman"/>
          <w:b/>
          <w:bCs/>
          <w:kern w:val="2"/>
          <w:sz w:val="30"/>
          <w:szCs w:val="30"/>
          <w:lang w:eastAsia="en-US"/>
          <w14:ligatures w14:val="standardContextual"/>
        </w:rPr>
        <w:t>консервированной</w:t>
      </w:r>
      <w:r w:rsidRPr="0056064B">
        <w:rPr>
          <w:rStyle w:val="itemtext1"/>
          <w:rFonts w:ascii="Times New Roman" w:eastAsiaTheme="minorHAnsi" w:hAnsi="Times New Roman" w:cs="Times New Roman"/>
          <w:b/>
          <w:bCs/>
          <w:kern w:val="2"/>
          <w:sz w:val="30"/>
          <w:szCs w:val="30"/>
          <w:lang w:eastAsia="en-US"/>
          <w14:ligatures w14:val="standardContextual"/>
        </w:rPr>
        <w:t xml:space="preserve"> продукции </w:t>
      </w:r>
      <w:r w:rsidRPr="006802A9">
        <w:rPr>
          <w:rStyle w:val="itemtext1"/>
          <w:rFonts w:ascii="Times New Roman" w:eastAsiaTheme="minorHAnsi" w:hAnsi="Times New Roman" w:cs="Times New Roman"/>
          <w:b/>
          <w:bCs/>
          <w:kern w:val="2"/>
          <w:sz w:val="30"/>
          <w:szCs w:val="30"/>
          <w:lang w:eastAsia="en-US"/>
          <w14:ligatures w14:val="standardContextual"/>
        </w:rPr>
        <w:t>средствами идентификации</w:t>
      </w:r>
    </w:p>
    <w:p w14:paraId="6AD3213D" w14:textId="77777777" w:rsidR="00CA74BA" w:rsidRPr="005646FB" w:rsidRDefault="00CA74BA" w:rsidP="00CA74BA">
      <w:pPr>
        <w:pStyle w:val="ac"/>
        <w:jc w:val="center"/>
        <w:rPr>
          <w:rStyle w:val="itemtext1"/>
          <w:rFonts w:ascii="Times New Roman" w:eastAsiaTheme="minorHAnsi" w:hAnsi="Times New Roman" w:cs="Times New Roman"/>
          <w:b/>
          <w:bCs/>
          <w:kern w:val="2"/>
          <w:sz w:val="30"/>
          <w:szCs w:val="30"/>
          <w:lang w:eastAsia="en-US"/>
          <w14:ligatures w14:val="standardContextual"/>
        </w:rPr>
      </w:pPr>
    </w:p>
    <w:p w14:paraId="40AF09E9" w14:textId="27F0F496" w:rsidR="00CA74BA" w:rsidRDefault="00CA74BA" w:rsidP="00CA74BA">
      <w:pPr>
        <w:pStyle w:val="ac"/>
        <w:rPr>
          <w:szCs w:val="30"/>
        </w:rPr>
      </w:pPr>
      <w:r>
        <w:t>На территории Евразийского экономического союза (далее – ЕАЭС) 29.11.2024 принято решение</w:t>
      </w:r>
      <w:r>
        <w:rPr>
          <w:szCs w:val="30"/>
        </w:rPr>
        <w:t xml:space="preserve"> Совета Евразийской экономической комиссии </w:t>
      </w:r>
      <w:r>
        <w:rPr>
          <w:szCs w:val="30"/>
        </w:rPr>
        <w:br/>
        <w:t>№ 1</w:t>
      </w:r>
      <w:r w:rsidR="00E85BE9">
        <w:rPr>
          <w:szCs w:val="30"/>
        </w:rPr>
        <w:t>20</w:t>
      </w:r>
      <w:r>
        <w:rPr>
          <w:szCs w:val="30"/>
        </w:rPr>
        <w:t xml:space="preserve"> </w:t>
      </w:r>
      <w:r w:rsidRPr="00B123F8">
        <w:rPr>
          <w:szCs w:val="30"/>
        </w:rPr>
        <w:t>«</w:t>
      </w:r>
      <w:r w:rsidRPr="00B123F8">
        <w:rPr>
          <w:rFonts w:ascii="Times New Roman CYR" w:eastAsiaTheme="minorHAnsi" w:hAnsi="Times New Roman CYR" w:cs="Times New Roman CYR"/>
          <w:color w:val="000000"/>
          <w:szCs w:val="30"/>
          <w:lang w:eastAsia="en-US"/>
        </w:rPr>
        <w:t xml:space="preserve">О маркировке отдельных видов </w:t>
      </w:r>
      <w:r w:rsidR="00E85BE9">
        <w:rPr>
          <w:rFonts w:ascii="Times New Roman CYR" w:eastAsiaTheme="minorHAnsi" w:hAnsi="Times New Roman CYR" w:cs="Times New Roman CYR"/>
          <w:color w:val="000000"/>
          <w:szCs w:val="30"/>
          <w:lang w:eastAsia="en-US"/>
        </w:rPr>
        <w:t xml:space="preserve">консервированной </w:t>
      </w:r>
      <w:r w:rsidRPr="00B123F8">
        <w:rPr>
          <w:rFonts w:ascii="Times New Roman CYR" w:eastAsiaTheme="minorHAnsi" w:hAnsi="Times New Roman CYR" w:cs="Times New Roman CYR"/>
          <w:color w:val="000000"/>
          <w:szCs w:val="30"/>
          <w:lang w:eastAsia="en-US"/>
        </w:rPr>
        <w:t>продукции средствами идентификации</w:t>
      </w:r>
      <w:r w:rsidRPr="00B123F8">
        <w:rPr>
          <w:szCs w:val="30"/>
        </w:rPr>
        <w:t xml:space="preserve">» </w:t>
      </w:r>
      <w:r>
        <w:rPr>
          <w:szCs w:val="30"/>
        </w:rPr>
        <w:t>(далее – решение № 1</w:t>
      </w:r>
      <w:r w:rsidR="00E85BE9">
        <w:rPr>
          <w:szCs w:val="30"/>
        </w:rPr>
        <w:t>20</w:t>
      </w:r>
      <w:r>
        <w:rPr>
          <w:szCs w:val="30"/>
        </w:rPr>
        <w:t>).</w:t>
      </w:r>
    </w:p>
    <w:p w14:paraId="161C0717" w14:textId="3997AFBE" w:rsidR="00CA74BA" w:rsidRDefault="00CA74BA" w:rsidP="00CA74BA">
      <w:pPr>
        <w:pStyle w:val="ac"/>
      </w:pPr>
      <w:r>
        <w:t xml:space="preserve">Решением № </w:t>
      </w:r>
      <w:r w:rsidR="00E85BE9">
        <w:t>120</w:t>
      </w:r>
      <w:r>
        <w:t xml:space="preserve"> (вступает в силу 26.02.2025) </w:t>
      </w:r>
      <w:r w:rsidRPr="00690CF6">
        <w:t xml:space="preserve">устанавливаются унифицированные правила формирования кодов маркировки и взаимодействия при трансграничной торговле </w:t>
      </w:r>
      <w:r w:rsidR="00E85BE9">
        <w:t>консервированной продукцией</w:t>
      </w:r>
      <w:r w:rsidRPr="00690CF6">
        <w:t>, в том числе предусматривается возможность получать коды маркировки иностранного образца через</w:t>
      </w:r>
      <w:r>
        <w:rPr>
          <w:szCs w:val="30"/>
        </w:rPr>
        <w:t xml:space="preserve"> национального оператора страны-экспортера. </w:t>
      </w:r>
    </w:p>
    <w:p w14:paraId="5C6B1955" w14:textId="77777777" w:rsidR="00BC722B" w:rsidRDefault="00CA74BA" w:rsidP="00BC722B">
      <w:pPr>
        <w:pStyle w:val="ac"/>
        <w:rPr>
          <w:szCs w:val="30"/>
        </w:rPr>
      </w:pPr>
      <w:r>
        <w:rPr>
          <w:szCs w:val="30"/>
        </w:rPr>
        <w:t xml:space="preserve">Техническая возможность получения </w:t>
      </w:r>
      <w:r w:rsidR="00B84D80">
        <w:rPr>
          <w:szCs w:val="30"/>
        </w:rPr>
        <w:t xml:space="preserve">через РУП «Издательство «Белбланкавыд» </w:t>
      </w:r>
      <w:r>
        <w:rPr>
          <w:szCs w:val="30"/>
        </w:rPr>
        <w:t xml:space="preserve">кодов маркировки российского образца белорусскими </w:t>
      </w:r>
      <w:r w:rsidRPr="006802A9">
        <w:rPr>
          <w:szCs w:val="30"/>
        </w:rPr>
        <w:t>субъектами хозяйствования, осуществляющими экспорт</w:t>
      </w:r>
      <w:r w:rsidRPr="00690CF6">
        <w:rPr>
          <w:szCs w:val="30"/>
        </w:rPr>
        <w:t xml:space="preserve"> </w:t>
      </w:r>
      <w:r w:rsidRPr="006802A9">
        <w:rPr>
          <w:szCs w:val="30"/>
        </w:rPr>
        <w:t>на территорию государств-членов ЕАЭС</w:t>
      </w:r>
      <w:r>
        <w:rPr>
          <w:szCs w:val="30"/>
        </w:rPr>
        <w:t xml:space="preserve"> </w:t>
      </w:r>
      <w:r w:rsidR="00E85BE9">
        <w:rPr>
          <w:szCs w:val="30"/>
        </w:rPr>
        <w:t>консервированной продукции</w:t>
      </w:r>
      <w:r w:rsidRPr="006802A9">
        <w:rPr>
          <w:szCs w:val="30"/>
        </w:rPr>
        <w:t>, где введена их маркировка средствами идентификации (в Российскую Федерацию)</w:t>
      </w:r>
      <w:r>
        <w:rPr>
          <w:szCs w:val="30"/>
        </w:rPr>
        <w:t>, реализована с</w:t>
      </w:r>
      <w:r w:rsidRPr="00857870">
        <w:rPr>
          <w:b/>
          <w:bCs/>
          <w:szCs w:val="30"/>
        </w:rPr>
        <w:t xml:space="preserve"> </w:t>
      </w:r>
      <w:r w:rsidR="00E85BE9">
        <w:rPr>
          <w:b/>
          <w:bCs/>
          <w:szCs w:val="30"/>
        </w:rPr>
        <w:t>20.12</w:t>
      </w:r>
      <w:r w:rsidRPr="00B8445D">
        <w:rPr>
          <w:b/>
          <w:bCs/>
          <w:szCs w:val="30"/>
        </w:rPr>
        <w:t>.2024</w:t>
      </w:r>
      <w:r>
        <w:rPr>
          <w:szCs w:val="30"/>
        </w:rPr>
        <w:t xml:space="preserve">. </w:t>
      </w:r>
    </w:p>
    <w:p w14:paraId="1B8F4EBC" w14:textId="4DA790DD" w:rsidR="00CA74BA" w:rsidRPr="00BC722B" w:rsidRDefault="00CA74BA" w:rsidP="00BC722B">
      <w:pPr>
        <w:pStyle w:val="ac"/>
        <w:rPr>
          <w:rFonts w:ascii="Times New Roman CYR" w:hAnsi="Times New Roman CYR" w:cs="Times New Roman CYR"/>
          <w:b/>
          <w:bCs/>
          <w:szCs w:val="30"/>
        </w:rPr>
      </w:pPr>
      <w:r>
        <w:t xml:space="preserve">Одновременно </w:t>
      </w:r>
      <w:r w:rsidRPr="00056950">
        <w:t xml:space="preserve">обращаем внимание, что </w:t>
      </w:r>
      <w:r>
        <w:t>в</w:t>
      </w:r>
      <w:r w:rsidRPr="00056950">
        <w:t xml:space="preserve"> соответствии с приложением 1 к постановлению Совета Министров Республики Беларусь от 29.07.2011 </w:t>
      </w:r>
      <w:r>
        <w:br/>
      </w:r>
      <w:r w:rsidRPr="00056950">
        <w:t>№ 1030</w:t>
      </w:r>
      <w:r>
        <w:t xml:space="preserve"> </w:t>
      </w:r>
      <w:r w:rsidRPr="00056950">
        <w:t xml:space="preserve">«О подлежащих маркировке товарах» </w:t>
      </w:r>
      <w:r w:rsidR="00E85BE9" w:rsidRPr="00BC722B">
        <w:rPr>
          <w:rFonts w:ascii="Times New Roman CYR" w:eastAsiaTheme="minorHAnsi" w:hAnsi="Times New Roman CYR" w:cs="Times New Roman CYR"/>
          <w:color w:val="000000"/>
          <w:szCs w:val="30"/>
          <w:lang w:eastAsia="en-US"/>
        </w:rPr>
        <w:t>консервированная продукция</w:t>
      </w:r>
      <w:r w:rsidR="00BC722B" w:rsidRPr="00BC722B">
        <w:rPr>
          <w:rFonts w:ascii="Times New Roman CYR" w:eastAsiaTheme="minorHAnsi" w:hAnsi="Times New Roman CYR" w:cs="Times New Roman CYR"/>
          <w:color w:val="000000"/>
          <w:szCs w:val="30"/>
          <w:lang w:eastAsia="en-US"/>
        </w:rPr>
        <w:t>, а именно:</w:t>
      </w:r>
      <w:r w:rsidR="00BC722B">
        <w:rPr>
          <w:rFonts w:ascii="Times New Roman CYR" w:eastAsiaTheme="minorHAnsi" w:hAnsi="Times New Roman CYR" w:cs="Times New Roman CYR"/>
          <w:b/>
          <w:color w:val="000000"/>
          <w:szCs w:val="30"/>
          <w:lang w:eastAsia="en-US"/>
        </w:rPr>
        <w:t xml:space="preserve"> </w:t>
      </w:r>
      <w:r w:rsidR="00BC722B">
        <w:rPr>
          <w:rFonts w:ascii="Times New Roman CYR" w:hAnsi="Times New Roman CYR" w:cs="Times New Roman CYR"/>
          <w:b/>
          <w:bCs/>
          <w:szCs w:val="30"/>
        </w:rPr>
        <w:t xml:space="preserve">консервы рыбные в </w:t>
      </w:r>
      <w:proofErr w:type="spellStart"/>
      <w:r w:rsidR="00BC722B">
        <w:rPr>
          <w:rFonts w:ascii="Times New Roman CYR" w:hAnsi="Times New Roman CYR" w:cs="Times New Roman CYR"/>
          <w:b/>
          <w:bCs/>
          <w:szCs w:val="30"/>
        </w:rPr>
        <w:t>жестебанке</w:t>
      </w:r>
      <w:proofErr w:type="spellEnd"/>
      <w:r w:rsidR="00BC722B">
        <w:rPr>
          <w:rFonts w:ascii="Times New Roman CYR" w:hAnsi="Times New Roman CYR" w:cs="Times New Roman CYR"/>
          <w:b/>
          <w:bCs/>
          <w:szCs w:val="30"/>
        </w:rPr>
        <w:t xml:space="preserve">, </w:t>
      </w:r>
      <w:r w:rsidRPr="00056950">
        <w:t>включен</w:t>
      </w:r>
      <w:r w:rsidR="00E85BE9">
        <w:t>а</w:t>
      </w:r>
      <w:r w:rsidRPr="00056950">
        <w:t xml:space="preserve"> в перечень товаров, подлежащих маркировке унифицированными контрольными знаками. </w:t>
      </w:r>
      <w:r>
        <w:t>В этой связи оборот таких товаров на территории Республики Беларусь должен осуществляться с использованием унифицированных контрольных знаков.</w:t>
      </w:r>
    </w:p>
    <w:p w14:paraId="63CC4488" w14:textId="234FE813" w:rsidR="00CA74BA" w:rsidRDefault="00CA74BA" w:rsidP="00CA74BA">
      <w:pPr>
        <w:pStyle w:val="ac"/>
      </w:pPr>
      <w:r>
        <w:t xml:space="preserve">Таким образом, при экспорте </w:t>
      </w:r>
      <w:r w:rsidR="00E85BE9">
        <w:t>консервированной продукции</w:t>
      </w:r>
      <w:r w:rsidR="00BC722B">
        <w:t>, в том числе консерв</w:t>
      </w:r>
      <w:r w:rsidR="00686A6A">
        <w:t>ов</w:t>
      </w:r>
      <w:r w:rsidR="00BC722B">
        <w:t xml:space="preserve"> рыбных </w:t>
      </w:r>
      <w:r>
        <w:t xml:space="preserve">в Российскую Федерацию субъектам хозяйствования необходимо осуществлять их маркировку средствами идентификации российского образца, а в случае оборота </w:t>
      </w:r>
      <w:r w:rsidR="00BC722B">
        <w:t>консерв</w:t>
      </w:r>
      <w:r w:rsidR="00686A6A">
        <w:t>ов</w:t>
      </w:r>
      <w:r w:rsidR="00BC722B">
        <w:t xml:space="preserve"> рыбных </w:t>
      </w:r>
      <w:r>
        <w:t>только в Республике Беларусь – унифицированными контрольными знаками.</w:t>
      </w:r>
    </w:p>
    <w:p w14:paraId="2E6E0520" w14:textId="16A3987C" w:rsidR="00CA74BA" w:rsidRDefault="00CA74BA" w:rsidP="00E85BE9">
      <w:pPr>
        <w:pStyle w:val="ac"/>
      </w:pPr>
      <w:r>
        <w:t xml:space="preserve">После введения в Республике Беларусь маркировки средствами идентификации </w:t>
      </w:r>
      <w:r w:rsidR="00BC722B">
        <w:t>консерв</w:t>
      </w:r>
      <w:r w:rsidR="00686A6A">
        <w:t>ов</w:t>
      </w:r>
      <w:r w:rsidR="00BC722B">
        <w:t xml:space="preserve"> рыбных </w:t>
      </w:r>
      <w:r>
        <w:t xml:space="preserve">с одновременным отказом от использования унифицированных контрольных знаков необходимость в маркировке унифицированными контрольными знаками и (или) средствами идентификации российского образца будет отсутствовать. Нанесенные на данные товары средства идентификации белорусского образца будут признаваться в государствах-членах </w:t>
      </w:r>
      <w:r w:rsidR="00141786">
        <w:t>ЕАЭС</w:t>
      </w:r>
      <w:r>
        <w:t xml:space="preserve"> на основании положений решения № </w:t>
      </w:r>
      <w:r w:rsidR="00E85BE9">
        <w:t>120</w:t>
      </w:r>
      <w:r>
        <w:t>.</w:t>
      </w:r>
    </w:p>
    <w:p w14:paraId="4DC76FCB" w14:textId="2D16C0E7" w:rsidR="00CA74BA" w:rsidRDefault="00CA74BA" w:rsidP="00CA74BA">
      <w:pPr>
        <w:rPr>
          <w:rFonts w:ascii="Times New Roman" w:eastAsia="Times New Roman" w:hAnsi="Times New Roman" w:cs="Times New Roman"/>
          <w:color w:val="000000" w:themeColor="text1"/>
          <w:kern w:val="0"/>
          <w:sz w:val="30"/>
          <w:szCs w:val="30"/>
          <w:lang w:eastAsia="ru-RU"/>
          <w14:ligatures w14:val="none"/>
        </w:rPr>
      </w:pPr>
    </w:p>
    <w:sectPr w:rsidR="00CA74BA" w:rsidSect="00EE1F0C">
      <w:headerReference w:type="default" r:id="rId7"/>
      <w:pgSz w:w="11906" w:h="16838"/>
      <w:pgMar w:top="1134" w:right="567" w:bottom="1134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41AAD7" w14:textId="77777777" w:rsidR="00486CB9" w:rsidRDefault="00486CB9">
      <w:pPr>
        <w:spacing w:after="0" w:line="240" w:lineRule="auto"/>
      </w:pPr>
      <w:r>
        <w:separator/>
      </w:r>
    </w:p>
  </w:endnote>
  <w:endnote w:type="continuationSeparator" w:id="0">
    <w:p w14:paraId="711656E9" w14:textId="77777777" w:rsidR="00486CB9" w:rsidRDefault="00486C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8D2CD3" w14:textId="77777777" w:rsidR="00486CB9" w:rsidRDefault="00486CB9">
      <w:pPr>
        <w:spacing w:after="0" w:line="240" w:lineRule="auto"/>
      </w:pPr>
      <w:r>
        <w:separator/>
      </w:r>
    </w:p>
  </w:footnote>
  <w:footnote w:type="continuationSeparator" w:id="0">
    <w:p w14:paraId="72035C19" w14:textId="77777777" w:rsidR="00486CB9" w:rsidRDefault="00486C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454932625"/>
      <w:docPartObj>
        <w:docPartGallery w:val="Page Numbers (Top of Page)"/>
        <w:docPartUnique/>
      </w:docPartObj>
    </w:sdtPr>
    <w:sdtEndPr/>
    <w:sdtContent>
      <w:p w14:paraId="29990D98" w14:textId="5B355573" w:rsidR="00A01D0F" w:rsidRDefault="00EE4F9E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C4F4F">
          <w:rPr>
            <w:noProof/>
          </w:rPr>
          <w:t>2</w:t>
        </w:r>
        <w:r>
          <w:fldChar w:fldCharType="end"/>
        </w:r>
      </w:p>
    </w:sdtContent>
  </w:sdt>
  <w:p w14:paraId="6FAB52A3" w14:textId="77777777" w:rsidR="00A01D0F" w:rsidRDefault="00A01D0F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473DA2"/>
    <w:multiLevelType w:val="hybridMultilevel"/>
    <w:tmpl w:val="8D1E3700"/>
    <w:lvl w:ilvl="0" w:tplc="709449F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1709"/>
    <w:rsid w:val="000004D2"/>
    <w:rsid w:val="000246D5"/>
    <w:rsid w:val="00057BE8"/>
    <w:rsid w:val="00097BF8"/>
    <w:rsid w:val="000B1709"/>
    <w:rsid w:val="000B62A2"/>
    <w:rsid w:val="000C182B"/>
    <w:rsid w:val="000E4EC0"/>
    <w:rsid w:val="000F7506"/>
    <w:rsid w:val="00105553"/>
    <w:rsid w:val="00107C16"/>
    <w:rsid w:val="00111533"/>
    <w:rsid w:val="001269B5"/>
    <w:rsid w:val="00134B45"/>
    <w:rsid w:val="0013521C"/>
    <w:rsid w:val="00141786"/>
    <w:rsid w:val="00154355"/>
    <w:rsid w:val="001A35AE"/>
    <w:rsid w:val="001F51ED"/>
    <w:rsid w:val="002715FF"/>
    <w:rsid w:val="00272953"/>
    <w:rsid w:val="0028351D"/>
    <w:rsid w:val="00285A32"/>
    <w:rsid w:val="002A16F2"/>
    <w:rsid w:val="002B0C51"/>
    <w:rsid w:val="002F1830"/>
    <w:rsid w:val="00372F1C"/>
    <w:rsid w:val="003D7D80"/>
    <w:rsid w:val="004031F3"/>
    <w:rsid w:val="00420707"/>
    <w:rsid w:val="00441229"/>
    <w:rsid w:val="00442340"/>
    <w:rsid w:val="00486CB9"/>
    <w:rsid w:val="004A2EE5"/>
    <w:rsid w:val="004C1AF7"/>
    <w:rsid w:val="005414E8"/>
    <w:rsid w:val="0055454A"/>
    <w:rsid w:val="00554AF2"/>
    <w:rsid w:val="0056064B"/>
    <w:rsid w:val="005646FB"/>
    <w:rsid w:val="005A096E"/>
    <w:rsid w:val="005B3EBC"/>
    <w:rsid w:val="005D5761"/>
    <w:rsid w:val="005F7968"/>
    <w:rsid w:val="006504AC"/>
    <w:rsid w:val="006802A9"/>
    <w:rsid w:val="00686A6A"/>
    <w:rsid w:val="00690ABB"/>
    <w:rsid w:val="00690CF6"/>
    <w:rsid w:val="006D1978"/>
    <w:rsid w:val="006D603D"/>
    <w:rsid w:val="006E3A75"/>
    <w:rsid w:val="006E76FE"/>
    <w:rsid w:val="00710D5A"/>
    <w:rsid w:val="00774D1C"/>
    <w:rsid w:val="007820EA"/>
    <w:rsid w:val="007D3E61"/>
    <w:rsid w:val="00841715"/>
    <w:rsid w:val="00857870"/>
    <w:rsid w:val="00875E3A"/>
    <w:rsid w:val="008A3983"/>
    <w:rsid w:val="00976791"/>
    <w:rsid w:val="00992E78"/>
    <w:rsid w:val="009945AE"/>
    <w:rsid w:val="00995285"/>
    <w:rsid w:val="0099681B"/>
    <w:rsid w:val="009C3EC1"/>
    <w:rsid w:val="00A01D0F"/>
    <w:rsid w:val="00A22679"/>
    <w:rsid w:val="00A2499C"/>
    <w:rsid w:val="00A6386D"/>
    <w:rsid w:val="00AB62E5"/>
    <w:rsid w:val="00AD215C"/>
    <w:rsid w:val="00B20A14"/>
    <w:rsid w:val="00B26982"/>
    <w:rsid w:val="00B43CF8"/>
    <w:rsid w:val="00B62B9C"/>
    <w:rsid w:val="00B84D80"/>
    <w:rsid w:val="00B97492"/>
    <w:rsid w:val="00BC722B"/>
    <w:rsid w:val="00BD4756"/>
    <w:rsid w:val="00BE3292"/>
    <w:rsid w:val="00BF044A"/>
    <w:rsid w:val="00BF5E90"/>
    <w:rsid w:val="00C14285"/>
    <w:rsid w:val="00C92672"/>
    <w:rsid w:val="00CA74BA"/>
    <w:rsid w:val="00CE36DB"/>
    <w:rsid w:val="00CE75A0"/>
    <w:rsid w:val="00CF41ED"/>
    <w:rsid w:val="00D06E8E"/>
    <w:rsid w:val="00D271E8"/>
    <w:rsid w:val="00D5354F"/>
    <w:rsid w:val="00D62C14"/>
    <w:rsid w:val="00D70FEF"/>
    <w:rsid w:val="00D81137"/>
    <w:rsid w:val="00DA26C9"/>
    <w:rsid w:val="00DB33F3"/>
    <w:rsid w:val="00DC4F4F"/>
    <w:rsid w:val="00DD7DB6"/>
    <w:rsid w:val="00DE77CF"/>
    <w:rsid w:val="00E166DB"/>
    <w:rsid w:val="00E85BE9"/>
    <w:rsid w:val="00EE1F0C"/>
    <w:rsid w:val="00EE4F9E"/>
    <w:rsid w:val="00F00784"/>
    <w:rsid w:val="00F25B1B"/>
    <w:rsid w:val="00F369ED"/>
    <w:rsid w:val="00F76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E3E976"/>
  <w15:docId w15:val="{BB80CF86-4B1A-48B7-9162-F2B77DEA2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802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B1709"/>
    <w:pPr>
      <w:tabs>
        <w:tab w:val="center" w:pos="4677"/>
        <w:tab w:val="right" w:pos="9355"/>
      </w:tabs>
      <w:spacing w:after="0" w:line="240" w:lineRule="auto"/>
    </w:pPr>
    <w:rPr>
      <w:kern w:val="0"/>
      <w14:ligatures w14:val="none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0B1709"/>
    <w:rPr>
      <w:kern w:val="0"/>
      <w14:ligatures w14:val="none"/>
    </w:rPr>
  </w:style>
  <w:style w:type="paragraph" w:styleId="a5">
    <w:name w:val="Balloon Text"/>
    <w:basedOn w:val="a"/>
    <w:link w:val="a6"/>
    <w:uiPriority w:val="99"/>
    <w:semiHidden/>
    <w:unhideWhenUsed/>
    <w:rsid w:val="00875E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75E3A"/>
    <w:rPr>
      <w:rFonts w:ascii="Tahoma" w:hAnsi="Tahoma" w:cs="Tahoma"/>
      <w:sz w:val="16"/>
      <w:szCs w:val="16"/>
    </w:rPr>
  </w:style>
  <w:style w:type="paragraph" w:customStyle="1" w:styleId="text-par-lh-big">
    <w:name w:val="text-par-lh-big"/>
    <w:basedOn w:val="a"/>
    <w:rsid w:val="00D62C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itemtext1">
    <w:name w:val="itemtext1"/>
    <w:basedOn w:val="a0"/>
    <w:rsid w:val="00554AF2"/>
    <w:rPr>
      <w:rFonts w:ascii="Segoe UI" w:hAnsi="Segoe UI" w:cs="Segoe UI" w:hint="default"/>
      <w:color w:val="000000"/>
      <w:sz w:val="20"/>
      <w:szCs w:val="20"/>
    </w:rPr>
  </w:style>
  <w:style w:type="character" w:styleId="a7">
    <w:name w:val="annotation reference"/>
    <w:basedOn w:val="a0"/>
    <w:uiPriority w:val="99"/>
    <w:semiHidden/>
    <w:unhideWhenUsed/>
    <w:rsid w:val="002A16F2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2A16F2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2A16F2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2A16F2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2A16F2"/>
    <w:rPr>
      <w:b/>
      <w:bCs/>
      <w:sz w:val="20"/>
      <w:szCs w:val="20"/>
    </w:rPr>
  </w:style>
  <w:style w:type="paragraph" w:styleId="ac">
    <w:name w:val="Body Text Indent"/>
    <w:basedOn w:val="a"/>
    <w:link w:val="ad"/>
    <w:rsid w:val="000B62A2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kern w:val="0"/>
      <w:sz w:val="30"/>
      <w:szCs w:val="20"/>
      <w:lang w:eastAsia="ru-RU"/>
      <w14:ligatures w14:val="none"/>
    </w:rPr>
  </w:style>
  <w:style w:type="character" w:customStyle="1" w:styleId="ad">
    <w:name w:val="Основной текст с отступом Знак"/>
    <w:basedOn w:val="a0"/>
    <w:link w:val="ac"/>
    <w:rsid w:val="000B62A2"/>
    <w:rPr>
      <w:rFonts w:ascii="Times New Roman" w:eastAsia="Times New Roman" w:hAnsi="Times New Roman" w:cs="Times New Roman"/>
      <w:kern w:val="0"/>
      <w:sz w:val="30"/>
      <w:szCs w:val="20"/>
      <w:lang w:eastAsia="ru-RU"/>
      <w14:ligatures w14:val="none"/>
    </w:rPr>
  </w:style>
  <w:style w:type="paragraph" w:styleId="ae">
    <w:name w:val="List Paragraph"/>
    <w:basedOn w:val="a"/>
    <w:uiPriority w:val="34"/>
    <w:qFormat/>
    <w:rsid w:val="008417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339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Балакер Елена Георгиевна</dc:creator>
  <cp:lastModifiedBy>Ширибало Алина Николаевна</cp:lastModifiedBy>
  <cp:revision>2</cp:revision>
  <cp:lastPrinted>2023-08-07T14:38:00Z</cp:lastPrinted>
  <dcterms:created xsi:type="dcterms:W3CDTF">2025-02-17T08:03:00Z</dcterms:created>
  <dcterms:modified xsi:type="dcterms:W3CDTF">2025-02-17T08:03:00Z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STALL_ID">
    <vt:lpwstr>38202</vt:lpwstr>
  </property>
</Properties>
</file>